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0BD16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fr-FR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i/>
        </w:rPr>
        <w:fldChar w:fldCharType="begin"/>
      </w:r>
      <w:r>
        <w:rPr>
          <w:i/>
        </w:rPr>
        <w:instrText xml:space="preserve"> DOCPROPERTY  Tdoc#  \* MERGEFORMAT </w:instrText>
      </w:r>
      <w:r>
        <w:rPr>
          <w:i/>
        </w:rPr>
        <w:fldChar w:fldCharType="separate"/>
      </w:r>
      <w:r>
        <w:rPr>
          <w:b/>
          <w:i/>
          <w:sz w:val="28"/>
        </w:rPr>
        <w:t>R2-</w:t>
      </w:r>
      <w:r>
        <w:rPr>
          <w:rFonts w:hint="default"/>
          <w:b/>
          <w:i/>
          <w:sz w:val="28"/>
          <w:lang w:val="fr-FR"/>
        </w:rPr>
        <w:t>2501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lang w:val="fr-FR"/>
        </w:rPr>
        <w:t>541</w:t>
      </w:r>
    </w:p>
    <w:p w14:paraId="35F1EF8A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February 17th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</w:t>
      </w:r>
      <w:r>
        <w:rPr>
          <w:b/>
          <w:sz w:val="24"/>
        </w:rPr>
        <w:fldChar w:fldCharType="end"/>
      </w:r>
      <w:r>
        <w:rPr>
          <w:b/>
          <w:sz w:val="24"/>
        </w:rPr>
        <w:t>, 2025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ED35DE2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7D7A3C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0F8C57B3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30364A2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2DE0D4E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888B79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CF30DD3">
        <w:tc>
          <w:tcPr>
            <w:tcW w:w="142" w:type="dxa"/>
            <w:tcBorders>
              <w:left w:val="single" w:color="auto" w:sz="4" w:space="0"/>
            </w:tcBorders>
          </w:tcPr>
          <w:p w14:paraId="1748A5E1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E79BF5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816BA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20E2D9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5091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88760A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A997DE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default"/>
                <w:b/>
                <w:sz w:val="28"/>
                <w:lang w:val="fr-FR"/>
              </w:rPr>
              <w:t>2</w:t>
            </w:r>
          </w:p>
        </w:tc>
        <w:tc>
          <w:tcPr>
            <w:tcW w:w="2410" w:type="dxa"/>
          </w:tcPr>
          <w:p w14:paraId="0B18C5FA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F5D58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5E980FE">
            <w:pPr>
              <w:pStyle w:val="81"/>
              <w:spacing w:after="0"/>
            </w:pPr>
          </w:p>
        </w:tc>
      </w:tr>
      <w:tr w14:paraId="44EC53E5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CDE97A">
            <w:pPr>
              <w:pStyle w:val="81"/>
              <w:spacing w:after="0"/>
            </w:pPr>
          </w:p>
        </w:tc>
      </w:tr>
      <w:tr w14:paraId="1BBDDB89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DB38B05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9D4061F">
        <w:tc>
          <w:tcPr>
            <w:tcW w:w="9641" w:type="dxa"/>
            <w:gridSpan w:val="9"/>
          </w:tcPr>
          <w:p w14:paraId="77DB463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25DCF2B3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63124CA">
        <w:tc>
          <w:tcPr>
            <w:tcW w:w="2835" w:type="dxa"/>
          </w:tcPr>
          <w:p w14:paraId="54A67CDA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1E1904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F8AB46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364F5C8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D7A1A9B"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fr-FR"/>
              </w:rPr>
            </w:pPr>
            <w:r>
              <w:rPr>
                <w:rFonts w:hint="default"/>
                <w:b/>
                <w:caps/>
                <w:lang w:val="fr-FR"/>
              </w:rPr>
              <w:t>X</w:t>
            </w:r>
          </w:p>
        </w:tc>
        <w:tc>
          <w:tcPr>
            <w:tcW w:w="2126" w:type="dxa"/>
          </w:tcPr>
          <w:p w14:paraId="3C9EAB53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62B01D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311D76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D8B30D3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5C6445F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4381F04">
        <w:tc>
          <w:tcPr>
            <w:tcW w:w="9640" w:type="dxa"/>
            <w:gridSpan w:val="11"/>
          </w:tcPr>
          <w:p w14:paraId="0D1D0E1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DAE0C9D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E99BA2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39AED9D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on Inclination</w:t>
            </w:r>
            <w:r>
              <w:fldChar w:fldCharType="end"/>
            </w:r>
            <w:r>
              <w:t xml:space="preserve"> value description</w:t>
            </w:r>
          </w:p>
        </w:tc>
      </w:tr>
      <w:tr w14:paraId="690405B8">
        <w:tc>
          <w:tcPr>
            <w:tcW w:w="1843" w:type="dxa"/>
            <w:tcBorders>
              <w:left w:val="single" w:color="auto" w:sz="4" w:space="0"/>
            </w:tcBorders>
          </w:tcPr>
          <w:p w14:paraId="183541B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427471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0237D16">
        <w:tc>
          <w:tcPr>
            <w:tcW w:w="1843" w:type="dxa"/>
            <w:tcBorders>
              <w:left w:val="single" w:color="auto" w:sz="4" w:space="0"/>
            </w:tcBorders>
          </w:tcPr>
          <w:p w14:paraId="02E939D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CA0BF9A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Thales</w:t>
            </w:r>
            <w:r>
              <w:fldChar w:fldCharType="end"/>
            </w:r>
          </w:p>
        </w:tc>
      </w:tr>
      <w:tr w14:paraId="433E8DF0">
        <w:tc>
          <w:tcPr>
            <w:tcW w:w="1843" w:type="dxa"/>
            <w:tcBorders>
              <w:left w:val="single" w:color="auto" w:sz="4" w:space="0"/>
            </w:tcBorders>
          </w:tcPr>
          <w:p w14:paraId="39146B8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C54C5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R2</w:t>
            </w:r>
            <w:r>
              <w:fldChar w:fldCharType="end"/>
            </w:r>
          </w:p>
        </w:tc>
      </w:tr>
      <w:tr w14:paraId="06945D10">
        <w:tc>
          <w:tcPr>
            <w:tcW w:w="1843" w:type="dxa"/>
            <w:tcBorders>
              <w:left w:val="single" w:color="auto" w:sz="4" w:space="0"/>
            </w:tcBorders>
          </w:tcPr>
          <w:p w14:paraId="52BD3BC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BBABBC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B787DDE">
        <w:tc>
          <w:tcPr>
            <w:tcW w:w="1843" w:type="dxa"/>
            <w:tcBorders>
              <w:left w:val="single" w:color="auto" w:sz="4" w:space="0"/>
            </w:tcBorders>
          </w:tcPr>
          <w:p w14:paraId="31EFD3A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93085">
            <w:pPr>
              <w:pStyle w:val="81"/>
              <w:spacing w:after="0"/>
              <w:ind w:left="100"/>
              <w:rPr>
                <w:lang w:val="fr-FR"/>
              </w:rPr>
            </w:pPr>
            <w:r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35AA3C35">
            <w:pPr>
              <w:pStyle w:val="81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68284E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A0376A5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</w:t>
            </w:r>
            <w:r>
              <w:fldChar w:fldCharType="end"/>
            </w:r>
            <w:r>
              <w:rPr>
                <w:rFonts w:hint="default"/>
                <w:lang w:val="fr-FR"/>
              </w:rPr>
              <w:t>-02-20</w:t>
            </w:r>
          </w:p>
        </w:tc>
      </w:tr>
      <w:tr w14:paraId="503649E2">
        <w:tc>
          <w:tcPr>
            <w:tcW w:w="1843" w:type="dxa"/>
            <w:tcBorders>
              <w:left w:val="single" w:color="auto" w:sz="4" w:space="0"/>
            </w:tcBorders>
          </w:tcPr>
          <w:p w14:paraId="089346C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ABBEC2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3AB52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ED5D21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FA4DA5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2F4EBFD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A11EF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E2397F">
            <w:pPr>
              <w:pStyle w:val="81"/>
              <w:spacing w:after="0"/>
              <w:ind w:left="100" w:right="-609"/>
              <w:rPr>
                <w:rFonts w:hint="default"/>
                <w:b/>
                <w:lang w:val="fr-FR"/>
              </w:rPr>
            </w:pPr>
            <w:r>
              <w:rPr>
                <w:rFonts w:hint="default"/>
                <w:b/>
                <w:lang w:val="fr-F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3BCEB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D38B3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35ADD0B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14:paraId="6FA8939F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4E5D1F6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9321DC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785726E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65BCF12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6A3CF1B9">
        <w:tc>
          <w:tcPr>
            <w:tcW w:w="1843" w:type="dxa"/>
          </w:tcPr>
          <w:p w14:paraId="2CCA625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D2E5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A158598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06F1E7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3056A0">
            <w:pPr>
              <w:pStyle w:val="81"/>
              <w:spacing w:after="0"/>
              <w:ind w:left="100"/>
            </w:pPr>
            <w:r>
              <w:t xml:space="preserve">In the J2000 reference frame (see NIMA TR 8350.2), the inclination is always reported as a value between 0° and 180°, and retrograde orbits are distinguished by their inclination being greater than 90°. The range of orbital inclination is defined in </w:t>
            </w:r>
            <w:r>
              <w:rPr>
                <w:lang w:val="fr-FR"/>
              </w:rPr>
              <w:t>existing</w:t>
            </w:r>
            <w:r>
              <w:t xml:space="preserve"> </w:t>
            </w:r>
            <w:r>
              <w:rPr>
                <w:lang w:val="fr-FR"/>
              </w:rPr>
              <w:t>specifications</w:t>
            </w:r>
            <w:r>
              <w:t xml:space="preserve"> with value range between –PI/2 (-90°) and +PI/2 (+90), It is proposed to clarify that in this convention negatives values correspond to retrograd</w:t>
            </w:r>
            <w:r>
              <w:rPr>
                <w:rFonts w:hint="default"/>
                <w:lang w:val="fr-FR"/>
              </w:rPr>
              <w:t>e</w:t>
            </w:r>
            <w:r>
              <w:t xml:space="preserve"> orbits and positives values correspond to prograd</w:t>
            </w:r>
            <w:r>
              <w:rPr>
                <w:rFonts w:hint="default"/>
                <w:lang w:val="fr-FR"/>
              </w:rPr>
              <w:t>e</w:t>
            </w:r>
            <w:bookmarkStart w:id="5" w:name="_GoBack"/>
            <w:bookmarkEnd w:id="5"/>
            <w:r>
              <w:t xml:space="preserve"> orbits.</w:t>
            </w:r>
          </w:p>
        </w:tc>
      </w:tr>
      <w:tr w14:paraId="3B1C553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2A9EF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570DB2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A45C51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57B2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24216E5">
            <w:pPr>
              <w:pStyle w:val="81"/>
              <w:spacing w:after="0"/>
              <w:ind w:left="100"/>
            </w:pPr>
            <w:r>
              <w:t>Clarify the inclination definition for orbital parameters format</w:t>
            </w:r>
          </w:p>
        </w:tc>
      </w:tr>
      <w:tr w14:paraId="70FC333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F7B902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0141DD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280CE3A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3F6580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16F76A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t xml:space="preserve">Ambiguity on the inclination value interpretation </w:t>
            </w:r>
            <w:r>
              <w:rPr>
                <w:rFonts w:hint="default"/>
                <w:lang w:val="fr-FR"/>
              </w:rPr>
              <w:t>can lead to a UE misunderstanding of the satellite orbital parameters transmitted by the network with the risk that UE cannot connect to the NTN</w:t>
            </w:r>
          </w:p>
        </w:tc>
      </w:tr>
      <w:tr w14:paraId="44310955">
        <w:tc>
          <w:tcPr>
            <w:tcW w:w="2694" w:type="dxa"/>
            <w:gridSpan w:val="2"/>
          </w:tcPr>
          <w:p w14:paraId="1567798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5B1C4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99D5B68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037718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21F888B">
            <w:pPr>
              <w:pStyle w:val="81"/>
              <w:spacing w:after="0"/>
              <w:ind w:left="100"/>
            </w:pPr>
            <w:r>
              <w:t>6.3.4</w:t>
            </w:r>
          </w:p>
        </w:tc>
      </w:tr>
      <w:tr w14:paraId="3064A38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DC508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7491C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CB3196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B7800A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DC695A7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24E4C5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51E70E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EAC65B3">
            <w:pPr>
              <w:pStyle w:val="81"/>
              <w:spacing w:after="0"/>
              <w:ind w:left="99"/>
            </w:pPr>
          </w:p>
        </w:tc>
      </w:tr>
      <w:tr w14:paraId="7047CB0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B5371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E3B18F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325F6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97896A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349D63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2AA62A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A74EFC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BC27E0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F9AC24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E816142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905B77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B24D74F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A254410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CC277F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D92D6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8AA4C83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C72BBF7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4D325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C07CA7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8F8BC8B">
            <w:pPr>
              <w:pStyle w:val="81"/>
              <w:spacing w:after="0"/>
            </w:pPr>
          </w:p>
        </w:tc>
      </w:tr>
      <w:tr w14:paraId="28E94FDC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03F372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F32A68">
            <w:pPr>
              <w:pStyle w:val="81"/>
              <w:spacing w:after="0"/>
              <w:ind w:left="100"/>
            </w:pPr>
          </w:p>
        </w:tc>
      </w:tr>
      <w:tr w14:paraId="2A1C34F6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DB409D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62C854D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21688C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23EC2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970A957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rPr>
                <w:rFonts w:hint="default"/>
                <w:lang w:val="fr-FR"/>
              </w:rPr>
              <w:t>R2-2501402, R2-2500938</w:t>
            </w:r>
          </w:p>
        </w:tc>
      </w:tr>
    </w:tbl>
    <w:p w14:paraId="35A8307B">
      <w:pPr>
        <w:pStyle w:val="81"/>
        <w:spacing w:after="0"/>
        <w:rPr>
          <w:sz w:val="8"/>
          <w:szCs w:val="8"/>
        </w:rPr>
      </w:pPr>
    </w:p>
    <w:p w14:paraId="6C7CC2F4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973F8C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68014717"/>
      <w:bookmarkStart w:id="2" w:name="_Toc60776777"/>
      <w:bookmarkStart w:id="3" w:name="_Toc124525399"/>
      <w:r>
        <w:rPr>
          <w:rFonts w:hint="eastAsia" w:eastAsia="DengXian"/>
          <w:sz w:val="24"/>
          <w:lang w:eastAsia="zh-CN"/>
        </w:rPr>
        <w:t>S</w:t>
      </w:r>
      <w:r>
        <w:rPr>
          <w:rFonts w:eastAsia="DengXian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  <w:bookmarkEnd w:id="1"/>
      <w:bookmarkEnd w:id="2"/>
      <w:bookmarkEnd w:id="3"/>
    </w:p>
    <w:p w14:paraId="5D2AC611">
      <w:pPr>
        <w:pStyle w:val="5"/>
      </w:pPr>
      <w:bookmarkStart w:id="4" w:name="_Toc185510894"/>
      <w:r>
        <w:rPr>
          <w:lang w:eastAsia="ja-JP"/>
        </w:rPr>
        <w:t>–</w:t>
      </w:r>
      <w:r>
        <w:rPr>
          <w:lang w:eastAsia="ja-JP"/>
        </w:rPr>
        <w:tab/>
      </w:r>
      <w:bookmarkEnd w:id="4"/>
      <w:r>
        <w:rPr>
          <w:i/>
        </w:rPr>
        <w:t>EphemerisOrbitalParameters</w:t>
      </w:r>
    </w:p>
    <w:p w14:paraId="73A17CCB">
      <w:r>
        <w:t xml:space="preserve">The IE </w:t>
      </w:r>
      <w:r>
        <w:rPr>
          <w:i/>
        </w:rPr>
        <w:t>EphemerisOrbitalParameters</w:t>
      </w:r>
      <w:r>
        <w:t xml:space="preserve"> provides satellite ephemeris in format of orbital parameters in ECI.</w:t>
      </w:r>
    </w:p>
    <w:p w14:paraId="550F9116">
      <w:pPr>
        <w:pStyle w:val="56"/>
      </w:pPr>
      <w:r>
        <w:t>NOTE:</w:t>
      </w:r>
      <w:r>
        <w:tab/>
      </w:r>
      <w:r>
        <w:t>The ECI and ECEF coincide at Epoch time (e.g. x,y,z axis in ECEF are aligned with x,y,z axis in ECI).</w:t>
      </w:r>
    </w:p>
    <w:p w14:paraId="39BE4837">
      <w:pPr>
        <w:pStyle w:val="55"/>
      </w:pPr>
      <w:r>
        <w:rPr>
          <w:bCs/>
          <w:i/>
          <w:iCs/>
        </w:rPr>
        <w:t xml:space="preserve">EphemerisOrbitalParameters </w:t>
      </w:r>
      <w:r>
        <w:t>information element</w:t>
      </w:r>
    </w:p>
    <w:p w14:paraId="4D9E29FD">
      <w:pPr>
        <w:pStyle w:val="64"/>
        <w:shd w:val="clear" w:color="auto" w:fill="E6E6E6"/>
      </w:pPr>
      <w:r>
        <w:t>-- ASN1START</w:t>
      </w:r>
    </w:p>
    <w:p w14:paraId="676EF74F">
      <w:pPr>
        <w:pStyle w:val="64"/>
        <w:shd w:val="clear" w:color="auto" w:fill="E6E6E6"/>
      </w:pPr>
    </w:p>
    <w:p w14:paraId="727091FF">
      <w:pPr>
        <w:pStyle w:val="64"/>
        <w:shd w:val="clear" w:color="auto" w:fill="E6E6E6"/>
      </w:pPr>
      <w:r>
        <w:t>EphemerisOrbitalParameters-r17 ::= SEQUENCE {</w:t>
      </w:r>
    </w:p>
    <w:p w14:paraId="25F13BB9">
      <w:pPr>
        <w:pStyle w:val="64"/>
        <w:shd w:val="clear" w:color="auto" w:fill="E6E6E6"/>
      </w:pPr>
      <w:r>
        <w:tab/>
      </w:r>
      <w:r>
        <w:t>semiMajorAxis-r17</w:t>
      </w:r>
      <w:r>
        <w:tab/>
      </w:r>
      <w:r>
        <w:tab/>
      </w:r>
      <w:r>
        <w:tab/>
      </w:r>
      <w:r>
        <w:tab/>
      </w:r>
      <w:r>
        <w:tab/>
      </w:r>
      <w:r>
        <w:t>INTEGER (0..8589934591),</w:t>
      </w:r>
    </w:p>
    <w:p w14:paraId="40FC3403">
      <w:pPr>
        <w:pStyle w:val="64"/>
        <w:shd w:val="clear" w:color="auto" w:fill="E6E6E6"/>
      </w:pPr>
      <w:r>
        <w:tab/>
      </w:r>
      <w:r>
        <w:t>eccentricity-r17</w:t>
      </w:r>
      <w:r>
        <w:tab/>
      </w:r>
      <w:r>
        <w:tab/>
      </w:r>
      <w:r>
        <w:tab/>
      </w:r>
      <w:r>
        <w:tab/>
      </w:r>
      <w:r>
        <w:tab/>
      </w:r>
      <w:r>
        <w:t>INTEGER (0..1048575),</w:t>
      </w:r>
    </w:p>
    <w:p w14:paraId="4D82E5FD">
      <w:pPr>
        <w:pStyle w:val="64"/>
        <w:shd w:val="clear" w:color="auto" w:fill="E6E6E6"/>
      </w:pPr>
      <w:r>
        <w:tab/>
      </w:r>
      <w:r>
        <w:t>periapsis-r17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(0..268435455),</w:t>
      </w:r>
    </w:p>
    <w:p w14:paraId="585235A6">
      <w:pPr>
        <w:pStyle w:val="64"/>
        <w:shd w:val="clear" w:color="auto" w:fill="E6E6E6"/>
      </w:pPr>
      <w:r>
        <w:tab/>
      </w:r>
      <w:r>
        <w:t>longitude-r17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(0..268435455),</w:t>
      </w:r>
    </w:p>
    <w:p w14:paraId="57C47073">
      <w:pPr>
        <w:pStyle w:val="64"/>
        <w:shd w:val="clear" w:color="auto" w:fill="E6E6E6"/>
      </w:pPr>
      <w:r>
        <w:tab/>
      </w:r>
      <w:r>
        <w:t>inclination-r17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(-67108864..67108863),</w:t>
      </w:r>
    </w:p>
    <w:p w14:paraId="52DBD777">
      <w:pPr>
        <w:pStyle w:val="64"/>
        <w:shd w:val="clear" w:color="auto" w:fill="E6E6E6"/>
      </w:pPr>
      <w:r>
        <w:tab/>
      </w:r>
      <w:r>
        <w:t>anomaly-r17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(0..268435455)</w:t>
      </w:r>
    </w:p>
    <w:p w14:paraId="2F209489">
      <w:pPr>
        <w:pStyle w:val="64"/>
        <w:shd w:val="clear" w:color="auto" w:fill="E6E6E6"/>
      </w:pPr>
      <w:r>
        <w:t>}</w:t>
      </w:r>
    </w:p>
    <w:p w14:paraId="7A161752">
      <w:pPr>
        <w:pStyle w:val="64"/>
        <w:shd w:val="clear" w:color="auto" w:fill="E6E6E6"/>
      </w:pPr>
    </w:p>
    <w:p w14:paraId="6DC90D27">
      <w:pPr>
        <w:pStyle w:val="64"/>
        <w:shd w:val="clear" w:color="auto" w:fill="E6E6E6"/>
      </w:pPr>
      <w:r>
        <w:t>-- ASN1STOP</w:t>
      </w:r>
    </w:p>
    <w:p w14:paraId="5593868B">
      <w:pPr>
        <w:rPr>
          <w:iCs/>
        </w:rPr>
      </w:pPr>
    </w:p>
    <w:tbl>
      <w:tblPr>
        <w:tblStyle w:val="13"/>
        <w:tblW w:w="9639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769C410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9639" w:type="dxa"/>
          </w:tcPr>
          <w:p w14:paraId="5517129D">
            <w:pPr>
              <w:pStyle w:val="51"/>
              <w:rPr>
                <w:lang w:eastAsia="en-GB"/>
              </w:rPr>
            </w:pPr>
            <w:r>
              <w:rPr>
                <w:i/>
                <w:iCs/>
                <w:lang w:eastAsia="en-GB"/>
              </w:rPr>
              <w:t>EphemerisOrbitalParameters</w:t>
            </w:r>
            <w:r>
              <w:rPr>
                <w:lang w:eastAsia="en-GB"/>
              </w:rPr>
              <w:t xml:space="preserve">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14:paraId="6BE20AB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</w:tcPr>
          <w:p w14:paraId="0EB67B87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anomaly</w:t>
            </w:r>
          </w:p>
          <w:p w14:paraId="734974B2">
            <w:pPr>
              <w:pStyle w:val="53"/>
            </w:pPr>
            <w:r>
              <w:t>Mean anomaly M at epoch time, see NIMA TR 8350.2 [110]. Unit in radian.</w:t>
            </w:r>
          </w:p>
          <w:p w14:paraId="370AF367">
            <w:pPr>
              <w:pStyle w:val="53"/>
              <w:rPr>
                <w:lang w:eastAsia="zh-CN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22DC8A6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44E4CDF3">
            <w:pPr>
              <w:pStyle w:val="53"/>
              <w:rPr>
                <w:b/>
                <w:bCs/>
                <w:i/>
                <w:iCs/>
                <w:lang w:val="it-IT" w:eastAsia="zh-CN"/>
              </w:rPr>
            </w:pPr>
            <w:r>
              <w:rPr>
                <w:b/>
                <w:bCs/>
                <w:i/>
                <w:iCs/>
                <w:lang w:val="it-IT"/>
              </w:rPr>
              <w:t>eccentricity</w:t>
            </w:r>
          </w:p>
          <w:p w14:paraId="715F5F30">
            <w:pPr>
              <w:pStyle w:val="53"/>
              <w:rPr>
                <w:lang w:val="it-IT"/>
              </w:rPr>
            </w:pPr>
            <w:r>
              <w:rPr>
                <w:lang w:val="it-IT"/>
              </w:rPr>
              <w:t>Eccentricity e, see NIMA TR 8350.2 [110].</w:t>
            </w:r>
          </w:p>
          <w:p w14:paraId="2E6557E2">
            <w:pPr>
              <w:pStyle w:val="53"/>
            </w:pPr>
            <w:r>
              <w:t>Step 1.431 * 10</w:t>
            </w:r>
            <w:r>
              <w:rPr>
                <w:vertAlign w:val="superscript"/>
              </w:rPr>
              <w:t>-8</w:t>
            </w:r>
            <w:r>
              <w:t xml:space="preserve">. </w:t>
            </w:r>
            <w:r>
              <w:rPr>
                <w:lang w:eastAsia="zh-CN"/>
              </w:rPr>
              <w:t>Actual value = field value * (</w:t>
            </w:r>
            <w:r>
              <w:t>1.431 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36B9A45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20A82BE1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inclination</w:t>
            </w:r>
          </w:p>
          <w:p w14:paraId="4DB9DB83">
            <w:pPr>
              <w:pStyle w:val="53"/>
            </w:pPr>
            <w:r>
              <w:t>Inclination i, see NIMA TR 8350.2 [110]. Unit in radian.</w:t>
            </w:r>
          </w:p>
          <w:p w14:paraId="25EBF8BA">
            <w:pPr>
              <w:pStyle w:val="53"/>
              <w:rPr>
                <w:ins w:id="0" w:author="Thales" w:date="2025-02-20T17:48:40Z"/>
                <w:lang w:eastAsia="zh-CN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</w:t>
            </w:r>
            <w:ins w:id="1" w:author="Thales" w:date="2025-02-20T17:48:21Z">
              <w:r>
                <w:rPr>
                  <w:rFonts w:hint="default"/>
                  <w:lang w:val="fr-FR" w:eastAsia="zh-CN"/>
                </w:rPr>
                <w:t xml:space="preserve"> for </w:t>
              </w:r>
            </w:ins>
            <w:ins w:id="2" w:author="Thales" w:date="2025-02-20T17:48:22Z">
              <w:r>
                <w:rPr>
                  <w:rFonts w:hint="default"/>
                  <w:lang w:val="fr-FR" w:eastAsia="zh-CN"/>
                </w:rPr>
                <w:t>posi</w:t>
              </w:r>
            </w:ins>
            <w:ins w:id="3" w:author="Thales" w:date="2025-02-20T17:48:23Z">
              <w:r>
                <w:rPr>
                  <w:rFonts w:hint="default"/>
                  <w:lang w:val="fr-FR" w:eastAsia="zh-CN"/>
                </w:rPr>
                <w:t>tive</w:t>
              </w:r>
            </w:ins>
            <w:ins w:id="4" w:author="Thales" w:date="2025-02-20T17:48:28Z">
              <w:r>
                <w:rPr>
                  <w:rFonts w:hint="default"/>
                  <w:lang w:val="fr-FR" w:eastAsia="zh-CN"/>
                </w:rPr>
                <w:t xml:space="preserve"> valu</w:t>
              </w:r>
            </w:ins>
            <w:ins w:id="5" w:author="Thales" w:date="2025-02-20T17:48:29Z">
              <w:r>
                <w:rPr>
                  <w:rFonts w:hint="default"/>
                  <w:lang w:val="fr-FR" w:eastAsia="zh-CN"/>
                </w:rPr>
                <w:t>es</w:t>
              </w:r>
            </w:ins>
            <w:r>
              <w:rPr>
                <w:lang w:eastAsia="zh-CN"/>
              </w:rPr>
              <w:t>.</w:t>
            </w:r>
          </w:p>
          <w:p w14:paraId="3D4D9A55">
            <w:pPr>
              <w:pStyle w:val="53"/>
              <w:rPr>
                <w:rFonts w:hint="default"/>
                <w:lang w:val="fr-FR" w:eastAsia="zh-CN"/>
              </w:rPr>
            </w:pPr>
            <w:ins w:id="6" w:author="Thales" w:date="2025-02-20T17:48:40Z">
              <w:r>
                <w:rPr>
                  <w:rFonts w:hint="default"/>
                  <w:lang w:val="fr-FR" w:eastAsia="zh-CN"/>
                </w:rPr>
                <w:t>A</w:t>
              </w:r>
            </w:ins>
            <w:ins w:id="7" w:author="Thales" w:date="2025-02-20T17:48:41Z">
              <w:r>
                <w:rPr>
                  <w:rFonts w:hint="default"/>
                  <w:lang w:val="fr-FR" w:eastAsia="zh-CN"/>
                </w:rPr>
                <w:t>ctu</w:t>
              </w:r>
            </w:ins>
            <w:ins w:id="8" w:author="Thales" w:date="2025-02-20T17:48:42Z">
              <w:r>
                <w:rPr>
                  <w:rFonts w:hint="default"/>
                  <w:lang w:val="fr-FR" w:eastAsia="zh-CN"/>
                </w:rPr>
                <w:t>al</w:t>
              </w:r>
            </w:ins>
            <w:ins w:id="9" w:author="Thales" w:date="2025-02-20T17:48:43Z">
              <w:r>
                <w:rPr>
                  <w:rFonts w:hint="default"/>
                  <w:lang w:val="fr-FR" w:eastAsia="zh-CN"/>
                </w:rPr>
                <w:t xml:space="preserve"> valu</w:t>
              </w:r>
            </w:ins>
            <w:ins w:id="10" w:author="Thales" w:date="2025-02-20T17:48:44Z">
              <w:r>
                <w:rPr>
                  <w:rFonts w:hint="default"/>
                  <w:lang w:val="fr-FR" w:eastAsia="zh-CN"/>
                </w:rPr>
                <w:t>e</w:t>
              </w:r>
            </w:ins>
            <w:ins w:id="11" w:author="Thales" w:date="2025-02-20T17:48:54Z">
              <w:r>
                <w:rPr>
                  <w:rFonts w:hint="default"/>
                  <w:lang w:val="fr-FR" w:eastAsia="zh-CN"/>
                </w:rPr>
                <w:t xml:space="preserve"> </w:t>
              </w:r>
            </w:ins>
            <w:ins w:id="12" w:author="Thales" w:date="2025-02-20T17:48:54Z">
              <w:r>
                <w:rPr>
                  <w:lang w:eastAsia="zh-CN"/>
                </w:rPr>
                <w:t>= field value * (</w:t>
              </w:r>
            </w:ins>
            <w:ins w:id="13" w:author="Thales" w:date="2025-02-20T17:48:54Z">
              <w:r>
                <w:rPr/>
                <w:t>2.341* 10</w:t>
              </w:r>
            </w:ins>
            <w:ins w:id="14" w:author="Thales" w:date="2025-02-20T17:48:54Z">
              <w:r>
                <w:rPr>
                  <w:vertAlign w:val="superscript"/>
                </w:rPr>
                <w:t>-8</w:t>
              </w:r>
            </w:ins>
            <w:ins w:id="15" w:author="Thales" w:date="2025-02-20T17:48:54Z">
              <w:r>
                <w:rPr>
                  <w:lang w:eastAsia="zh-CN"/>
                </w:rPr>
                <w:t>)</w:t>
              </w:r>
            </w:ins>
            <w:ins w:id="16" w:author="Thales" w:date="2025-02-20T17:49:02Z">
              <w:r>
                <w:rPr>
                  <w:rFonts w:hint="default"/>
                  <w:lang w:val="fr-FR" w:eastAsia="zh-CN"/>
                </w:rPr>
                <w:t xml:space="preserve"> </w:t>
              </w:r>
            </w:ins>
            <w:ins w:id="17" w:author="Thales" w:date="2025-02-20T17:49:03Z">
              <w:r>
                <w:rPr>
                  <w:rFonts w:hint="default"/>
                  <w:lang w:val="fr-FR" w:eastAsia="zh-CN"/>
                </w:rPr>
                <w:t>+ pi</w:t>
              </w:r>
            </w:ins>
            <w:ins w:id="18" w:author="Thales" w:date="2025-02-20T17:49:04Z">
              <w:r>
                <w:rPr>
                  <w:rFonts w:hint="default"/>
                  <w:lang w:val="fr-FR" w:eastAsia="zh-CN"/>
                </w:rPr>
                <w:t xml:space="preserve"> for ne</w:t>
              </w:r>
            </w:ins>
            <w:ins w:id="19" w:author="Thales" w:date="2025-02-20T17:49:05Z">
              <w:r>
                <w:rPr>
                  <w:rFonts w:hint="default"/>
                  <w:lang w:val="fr-FR" w:eastAsia="zh-CN"/>
                </w:rPr>
                <w:t>ga</w:t>
              </w:r>
            </w:ins>
            <w:ins w:id="20" w:author="Thales" w:date="2025-02-20T17:49:06Z">
              <w:r>
                <w:rPr>
                  <w:rFonts w:hint="default"/>
                  <w:lang w:val="fr-FR" w:eastAsia="zh-CN"/>
                </w:rPr>
                <w:t xml:space="preserve">tive </w:t>
              </w:r>
            </w:ins>
            <w:ins w:id="21" w:author="Thales" w:date="2025-02-20T17:49:07Z">
              <w:r>
                <w:rPr>
                  <w:rFonts w:hint="default"/>
                  <w:lang w:val="fr-FR" w:eastAsia="zh-CN"/>
                </w:rPr>
                <w:t>values</w:t>
              </w:r>
            </w:ins>
            <w:ins w:id="22" w:author="Thales" w:date="2025-02-20T17:49:08Z">
              <w:r>
                <w:rPr>
                  <w:rFonts w:hint="default"/>
                  <w:lang w:val="fr-FR" w:eastAsia="zh-CN"/>
                </w:rPr>
                <w:t>.</w:t>
              </w:r>
            </w:ins>
          </w:p>
        </w:tc>
      </w:tr>
      <w:tr w14:paraId="246DBA3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67043436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longitude</w:t>
            </w:r>
          </w:p>
          <w:p w14:paraId="376F5EE7">
            <w:pPr>
              <w:pStyle w:val="53"/>
            </w:pPr>
            <w:r>
              <w:t xml:space="preserve">Longitude of ascending node </w:t>
            </w:r>
            <w:r>
              <w:rPr/>
              <w:sym w:font="Symbol" w:char="F057"/>
            </w:r>
            <w:r>
              <w:t>, see NIMA TR 8350.2 [110]. Unit in radian.</w:t>
            </w:r>
          </w:p>
          <w:p w14:paraId="338E08DC">
            <w:pPr>
              <w:pStyle w:val="53"/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22CDC34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63F72FED">
            <w:pPr>
              <w:pStyle w:val="53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periapsis</w:t>
            </w:r>
          </w:p>
          <w:p w14:paraId="5E0AE54B">
            <w:pPr>
              <w:pStyle w:val="53"/>
            </w:pPr>
            <w:r>
              <w:t xml:space="preserve">Argument of periapsis </w:t>
            </w:r>
            <w:r>
              <w:rPr/>
              <w:sym w:font="Symbol" w:char="F077"/>
            </w:r>
            <w:r>
              <w:t>, see NIMA TR 8350.2 [110]. Unit in radian.</w:t>
            </w:r>
          </w:p>
          <w:p w14:paraId="63D43285">
            <w:pPr>
              <w:pStyle w:val="53"/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309DCB8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rHeight w:val="50" w:hRule="atLeast"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11B8D5E4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semiMajorAxis</w:t>
            </w:r>
          </w:p>
          <w:p w14:paraId="7214155D">
            <w:pPr>
              <w:pStyle w:val="53"/>
            </w:pPr>
            <w:r>
              <w:t xml:space="preserve">Semi major axis </w:t>
            </w:r>
            <w:r>
              <w:rPr/>
              <w:sym w:font="Symbol" w:char="F061"/>
            </w:r>
            <w:r>
              <w:t>, see NIMA TR 8350.2 [110]. Unit in meter.</w:t>
            </w:r>
          </w:p>
          <w:p w14:paraId="0F16877E">
            <w:pPr>
              <w:pStyle w:val="53"/>
            </w:pPr>
            <w:r>
              <w:rPr>
                <w:lang w:eastAsia="zh-CN"/>
              </w:rPr>
              <w:t>Step</w:t>
            </w:r>
            <w:r>
              <w:rPr>
                <w:vertAlign w:val="superscript"/>
                <w:lang w:eastAsia="zh-CN"/>
              </w:rPr>
              <w:t xml:space="preserve"> </w:t>
            </w:r>
            <w:r>
              <w:rPr>
                <w:lang w:eastAsia="zh-CN"/>
              </w:rPr>
              <w:t>of 4.249 * 10</w:t>
            </w:r>
            <w:r>
              <w:rPr>
                <w:vertAlign w:val="superscript"/>
                <w:lang w:eastAsia="zh-CN"/>
              </w:rPr>
              <w:t xml:space="preserve">-3 </w:t>
            </w:r>
            <w:r>
              <w:rPr>
                <w:lang w:eastAsia="zh-CN"/>
              </w:rPr>
              <w:t>m. Actual value =</w:t>
            </w:r>
            <w:r>
              <w:t xml:space="preserve"> 6500000</w:t>
            </w:r>
            <w:r>
              <w:rPr>
                <w:lang w:eastAsia="zh-CN"/>
              </w:rPr>
              <w:t xml:space="preserve"> + field value * (4.249 * 10</w:t>
            </w:r>
            <w:r>
              <w:rPr>
                <w:vertAlign w:val="superscript"/>
                <w:lang w:eastAsia="zh-CN"/>
              </w:rPr>
              <w:t>-3</w:t>
            </w:r>
            <w:r>
              <w:rPr>
                <w:lang w:eastAsia="zh-CN"/>
              </w:rPr>
              <w:t>)</w:t>
            </w:r>
            <w:r>
              <w:t>.</w:t>
            </w:r>
          </w:p>
        </w:tc>
      </w:tr>
    </w:tbl>
    <w:p w14:paraId="76D76D7A"/>
    <w:p w14:paraId="4457BDC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engXian"/>
          <w:sz w:val="24"/>
          <w:lang w:eastAsia="zh-CN"/>
        </w:rPr>
      </w:pPr>
      <w:r>
        <w:rPr>
          <w:rFonts w:eastAsia="DengXian"/>
          <w:sz w:val="24"/>
          <w:lang w:eastAsia="zh-CN"/>
        </w:rPr>
        <w:t>End of</w:t>
      </w:r>
      <w:r>
        <w:rPr>
          <w:rFonts w:eastAsia="DotumChe"/>
          <w:sz w:val="24"/>
        </w:rPr>
        <w:t xml:space="preserve"> change</w:t>
      </w:r>
    </w:p>
    <w:p w14:paraId="3B32B986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otumChe">
    <w:altName w:val="Apple SD Gothic Neo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85186">
    <w:pPr>
      <w:pStyle w:val="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37033">
    <w:pPr>
      <w:pStyle w:val="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B7750">
    <w:pPr>
      <w:pStyle w:val="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4525C">
    <w:pPr>
      <w:pStyle w:val="2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0A31E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64651"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E4D549">
    <w:pPr>
      <w:pStyle w:val="21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EB9581">
    <w:pPr>
      <w:pStyle w:val="2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347EF">
    <w:pPr>
      <w:pStyle w:val="21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23AD"/>
    <w:rsid w:val="000B7FED"/>
    <w:rsid w:val="000C038A"/>
    <w:rsid w:val="000C6598"/>
    <w:rsid w:val="000D44B3"/>
    <w:rsid w:val="000F3221"/>
    <w:rsid w:val="000F3A3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3F8"/>
    <w:rsid w:val="00284FEB"/>
    <w:rsid w:val="00285F2D"/>
    <w:rsid w:val="002860C4"/>
    <w:rsid w:val="002A615D"/>
    <w:rsid w:val="002B5741"/>
    <w:rsid w:val="002E472E"/>
    <w:rsid w:val="00305409"/>
    <w:rsid w:val="003364EC"/>
    <w:rsid w:val="003609EF"/>
    <w:rsid w:val="0036231A"/>
    <w:rsid w:val="00374DD4"/>
    <w:rsid w:val="003E1A36"/>
    <w:rsid w:val="00410371"/>
    <w:rsid w:val="004242F1"/>
    <w:rsid w:val="004B75B7"/>
    <w:rsid w:val="004D4E92"/>
    <w:rsid w:val="005141D9"/>
    <w:rsid w:val="0051580D"/>
    <w:rsid w:val="0052728D"/>
    <w:rsid w:val="00547111"/>
    <w:rsid w:val="00592D74"/>
    <w:rsid w:val="005E2C44"/>
    <w:rsid w:val="00621188"/>
    <w:rsid w:val="006257ED"/>
    <w:rsid w:val="00625A30"/>
    <w:rsid w:val="00653DE4"/>
    <w:rsid w:val="00665C47"/>
    <w:rsid w:val="00695808"/>
    <w:rsid w:val="006B46FB"/>
    <w:rsid w:val="006C3C37"/>
    <w:rsid w:val="006E21FB"/>
    <w:rsid w:val="007675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9CD"/>
    <w:rsid w:val="00870EE7"/>
    <w:rsid w:val="008863B9"/>
    <w:rsid w:val="008A45A6"/>
    <w:rsid w:val="008D3CCC"/>
    <w:rsid w:val="008F3789"/>
    <w:rsid w:val="008F686C"/>
    <w:rsid w:val="00911F71"/>
    <w:rsid w:val="009148DE"/>
    <w:rsid w:val="00941E30"/>
    <w:rsid w:val="009531B0"/>
    <w:rsid w:val="009741B3"/>
    <w:rsid w:val="009777D9"/>
    <w:rsid w:val="00991B88"/>
    <w:rsid w:val="009A5753"/>
    <w:rsid w:val="009A579D"/>
    <w:rsid w:val="009D60B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8C6"/>
    <w:rsid w:val="00B24A26"/>
    <w:rsid w:val="00B258BB"/>
    <w:rsid w:val="00B632E1"/>
    <w:rsid w:val="00B67B97"/>
    <w:rsid w:val="00B968C8"/>
    <w:rsid w:val="00BA3EC5"/>
    <w:rsid w:val="00BA51D9"/>
    <w:rsid w:val="00BB5DFC"/>
    <w:rsid w:val="00BD279D"/>
    <w:rsid w:val="00BD6BB8"/>
    <w:rsid w:val="00BF2F77"/>
    <w:rsid w:val="00C66BA2"/>
    <w:rsid w:val="00C870F6"/>
    <w:rsid w:val="00C95985"/>
    <w:rsid w:val="00CC5026"/>
    <w:rsid w:val="00CC68D0"/>
    <w:rsid w:val="00D03F9A"/>
    <w:rsid w:val="00D06D51"/>
    <w:rsid w:val="00D24991"/>
    <w:rsid w:val="00D418EC"/>
    <w:rsid w:val="00D50255"/>
    <w:rsid w:val="00D63379"/>
    <w:rsid w:val="00D66520"/>
    <w:rsid w:val="00D84AE9"/>
    <w:rsid w:val="00D9124E"/>
    <w:rsid w:val="00DA14B7"/>
    <w:rsid w:val="00DC7083"/>
    <w:rsid w:val="00DE34CF"/>
    <w:rsid w:val="00E13F3D"/>
    <w:rsid w:val="00E34898"/>
    <w:rsid w:val="00E3670D"/>
    <w:rsid w:val="00E4145F"/>
    <w:rsid w:val="00E670E3"/>
    <w:rsid w:val="00EB09B7"/>
    <w:rsid w:val="00EB123D"/>
    <w:rsid w:val="00EE7D7C"/>
    <w:rsid w:val="00F25D98"/>
    <w:rsid w:val="00F300FB"/>
    <w:rsid w:val="00FB6386"/>
    <w:rsid w:val="39FD193D"/>
    <w:rsid w:val="3B7369E0"/>
    <w:rsid w:val="3FEB8DFE"/>
    <w:rsid w:val="7B3FA47C"/>
    <w:rsid w:val="7D173865"/>
    <w:rsid w:val="7D1AB00E"/>
    <w:rsid w:val="7DFF50F2"/>
    <w:rsid w:val="7FFF4CA3"/>
    <w:rsid w:val="CD7B8D64"/>
    <w:rsid w:val="EBFBE752"/>
    <w:rsid w:val="FEDD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qFormat/>
    <w:uiPriority w:val="0"/>
    <w:rPr>
      <w:sz w:val="16"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annotation subject"/>
    <w:basedOn w:val="16"/>
    <w:next w:val="16"/>
    <w:semiHidden/>
    <w:qFormat/>
    <w:uiPriority w:val="0"/>
    <w:rPr>
      <w:b/>
      <w:bCs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qFormat/>
    <w:uiPriority w:val="0"/>
    <w:rPr>
      <w:color w:val="800080"/>
      <w:u w:val="single"/>
    </w:rPr>
  </w:style>
  <w:style w:type="paragraph" w:styleId="20">
    <w:name w:val="footer"/>
    <w:basedOn w:val="21"/>
    <w:qFormat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2">
    <w:name w:val="footnote reference"/>
    <w:semiHidden/>
    <w:qFormat/>
    <w:uiPriority w:val="0"/>
    <w:rPr>
      <w:b/>
      <w:position w:val="6"/>
      <w:sz w:val="16"/>
    </w:r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qFormat/>
    <w:uiPriority w:val="0"/>
    <w:rPr>
      <w:color w:val="0000FF"/>
      <w:u w:val="single"/>
    </w:rPr>
  </w:style>
  <w:style w:type="paragraph" w:styleId="25">
    <w:name w:val="index 1"/>
    <w:basedOn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semiHidden/>
    <w:qFormat/>
    <w:uiPriority w:val="0"/>
    <w:pPr>
      <w:ind w:left="284"/>
    </w:pPr>
  </w:style>
  <w:style w:type="paragraph" w:styleId="27">
    <w:name w:val="List"/>
    <w:basedOn w:val="1"/>
    <w:qFormat/>
    <w:uiPriority w:val="0"/>
    <w:pPr>
      <w:ind w:left="568" w:hanging="284"/>
    </w:pPr>
  </w:style>
  <w:style w:type="paragraph" w:styleId="28">
    <w:name w:val="List 2"/>
    <w:basedOn w:val="27"/>
    <w:qFormat/>
    <w:uiPriority w:val="0"/>
    <w:pPr>
      <w:ind w:left="851"/>
    </w:pPr>
  </w:style>
  <w:style w:type="paragraph" w:styleId="29">
    <w:name w:val="List 3"/>
    <w:basedOn w:val="28"/>
    <w:qFormat/>
    <w:uiPriority w:val="0"/>
    <w:pPr>
      <w:ind w:left="1135"/>
    </w:pPr>
  </w:style>
  <w:style w:type="paragraph" w:styleId="30">
    <w:name w:val="List 4"/>
    <w:basedOn w:val="29"/>
    <w:qFormat/>
    <w:uiPriority w:val="0"/>
    <w:pPr>
      <w:ind w:left="1418"/>
    </w:pPr>
  </w:style>
  <w:style w:type="paragraph" w:styleId="31">
    <w:name w:val="List 5"/>
    <w:basedOn w:val="30"/>
    <w:qFormat/>
    <w:uiPriority w:val="0"/>
    <w:pPr>
      <w:ind w:left="1702"/>
    </w:pPr>
  </w:style>
  <w:style w:type="paragraph" w:styleId="32">
    <w:name w:val="List Bullet"/>
    <w:basedOn w:val="27"/>
    <w:qFormat/>
    <w:uiPriority w:val="0"/>
  </w:style>
  <w:style w:type="paragraph" w:styleId="33">
    <w:name w:val="List Bullet 2"/>
    <w:basedOn w:val="32"/>
    <w:qFormat/>
    <w:uiPriority w:val="0"/>
    <w:pPr>
      <w:ind w:left="851"/>
    </w:pPr>
  </w:style>
  <w:style w:type="paragraph" w:styleId="34">
    <w:name w:val="List Bullet 3"/>
    <w:basedOn w:val="33"/>
    <w:qFormat/>
    <w:uiPriority w:val="0"/>
    <w:pPr>
      <w:ind w:left="1135"/>
    </w:pPr>
  </w:style>
  <w:style w:type="paragraph" w:styleId="35">
    <w:name w:val="List Bullet 4"/>
    <w:basedOn w:val="34"/>
    <w:qFormat/>
    <w:uiPriority w:val="0"/>
    <w:pPr>
      <w:ind w:left="1418"/>
    </w:pPr>
  </w:style>
  <w:style w:type="paragraph" w:styleId="36">
    <w:name w:val="List Bullet 5"/>
    <w:basedOn w:val="35"/>
    <w:qFormat/>
    <w:uiPriority w:val="0"/>
    <w:pPr>
      <w:ind w:left="1702"/>
    </w:pPr>
  </w:style>
  <w:style w:type="paragraph" w:styleId="37">
    <w:name w:val="List Number"/>
    <w:basedOn w:val="27"/>
    <w:qFormat/>
    <w:uiPriority w:val="0"/>
  </w:style>
  <w:style w:type="paragraph" w:styleId="38">
    <w:name w:val="List Number 2"/>
    <w:basedOn w:val="37"/>
    <w:qFormat/>
    <w:uiPriority w:val="0"/>
    <w:pPr>
      <w:ind w:left="851"/>
    </w:pPr>
  </w:style>
  <w:style w:type="paragraph" w:styleId="3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0">
    <w:name w:val="toc 2"/>
    <w:basedOn w:val="39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qFormat/>
    <w:uiPriority w:val="0"/>
    <w:pPr>
      <w:ind w:left="1134" w:hanging="1134"/>
    </w:pPr>
  </w:style>
  <w:style w:type="paragraph" w:styleId="42">
    <w:name w:val="toc 4"/>
    <w:basedOn w:val="41"/>
    <w:semiHidden/>
    <w:qFormat/>
    <w:uiPriority w:val="0"/>
    <w:pPr>
      <w:ind w:left="1418" w:hanging="1418"/>
    </w:pPr>
  </w:style>
  <w:style w:type="paragraph" w:styleId="43">
    <w:name w:val="toc 5"/>
    <w:basedOn w:val="42"/>
    <w:semiHidden/>
    <w:qFormat/>
    <w:uiPriority w:val="0"/>
    <w:pPr>
      <w:ind w:left="1701" w:hanging="1701"/>
    </w:pPr>
  </w:style>
  <w:style w:type="paragraph" w:styleId="44">
    <w:name w:val="toc 6"/>
    <w:basedOn w:val="43"/>
    <w:next w:val="1"/>
    <w:semiHidden/>
    <w:qFormat/>
    <w:uiPriority w:val="0"/>
    <w:pPr>
      <w:ind w:left="1985" w:hanging="1985"/>
    </w:pPr>
  </w:style>
  <w:style w:type="paragraph" w:styleId="45">
    <w:name w:val="toc 7"/>
    <w:basedOn w:val="44"/>
    <w:next w:val="1"/>
    <w:semiHidden/>
    <w:qFormat/>
    <w:uiPriority w:val="0"/>
    <w:pPr>
      <w:ind w:left="2268" w:hanging="2268"/>
    </w:pPr>
  </w:style>
  <w:style w:type="paragraph" w:styleId="46">
    <w:name w:val="toc 8"/>
    <w:basedOn w:val="39"/>
    <w:semiHidden/>
    <w:qFormat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qFormat/>
    <w:uiPriority w:val="0"/>
    <w:pPr>
      <w:ind w:left="1418" w:hanging="1418"/>
    </w:p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7"/>
    <w:qFormat/>
    <w:uiPriority w:val="0"/>
  </w:style>
  <w:style w:type="paragraph" w:customStyle="1" w:styleId="76">
    <w:name w:val="B2"/>
    <w:basedOn w:val="28"/>
    <w:qFormat/>
    <w:uiPriority w:val="0"/>
  </w:style>
  <w:style w:type="paragraph" w:customStyle="1" w:styleId="77">
    <w:name w:val="B3"/>
    <w:basedOn w:val="29"/>
    <w:qFormat/>
    <w:uiPriority w:val="0"/>
  </w:style>
  <w:style w:type="paragraph" w:customStyle="1" w:styleId="78">
    <w:name w:val="B4"/>
    <w:basedOn w:val="30"/>
    <w:qFormat/>
    <w:uiPriority w:val="0"/>
  </w:style>
  <w:style w:type="paragraph" w:customStyle="1" w:styleId="79">
    <w:name w:val="B5"/>
    <w:basedOn w:val="3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frj/Library/Containers/com.kingsoft.wpsoffice.mac.global/Data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85BDA091-A669-487E-A7F6-2DAB5B0439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Thales</Company>
  <Pages>3</Pages>
  <Words>684</Words>
  <Characters>3899</Characters>
  <Lines>32</Lines>
  <Paragraphs>9</Paragraphs>
  <TotalTime>2</TotalTime>
  <ScaleCrop>false</ScaleCrop>
  <LinksUpToDate>false</LinksUpToDate>
  <CharactersWithSpaces>4574</CharactersWithSpaces>
  <Application>WPS Office_6.11.0.8608_F1E327BC-269C-435d-A152-05C5408002CA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2025-02-06T21:29:00Z</dcterms:created>
  <dc:creator>Flavien Ronteix (Thales)</dc:creator>
  <cp:lastModifiedBy>Thales</cp:lastModifiedBy>
  <cp:lastPrinted>1900-01-01T02:00:00Z</cp:lastPrinted>
  <dcterms:modified xsi:type="dcterms:W3CDTF">2025-02-20T18:10:38Z</dcterms:modified>
  <dc:title>CR R17 Clarification on inclination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129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17th</vt:lpwstr>
  </property>
  <property fmtid="{D5CDD505-2E9C-101B-9397-08002B2CF9AE}" pid="7" name="EndDate">
    <vt:lpwstr>21st</vt:lpwstr>
  </property>
  <property fmtid="{D5CDD505-2E9C-101B-9397-08002B2CF9AE}" pid="8" name="Tdoc#">
    <vt:lpwstr>&lt;TDoc#&gt;</vt:lpwstr>
  </property>
  <property fmtid="{D5CDD505-2E9C-101B-9397-08002B2CF9AE}" pid="9" name="Spec#">
    <vt:lpwstr>38.331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17.11.0</vt:lpwstr>
  </property>
  <property fmtid="{D5CDD505-2E9C-101B-9397-08002B2CF9AE}" pid="13" name="SourceIfWg">
    <vt:lpwstr>Thales</vt:lpwstr>
  </property>
  <property fmtid="{D5CDD505-2E9C-101B-9397-08002B2CF9AE}" pid="14" name="SourceIfTsg">
    <vt:lpwstr>R2</vt:lpwstr>
  </property>
  <property fmtid="{D5CDD505-2E9C-101B-9397-08002B2CF9AE}" pid="15" name="RelatedWis">
    <vt:lpwstr>NR_NTN_solutions-Core</vt:lpwstr>
  </property>
  <property fmtid="{D5CDD505-2E9C-101B-9397-08002B2CF9AE}" pid="16" name="Cat">
    <vt:lpwstr>D</vt:lpwstr>
  </property>
  <property fmtid="{D5CDD505-2E9C-101B-9397-08002B2CF9AE}" pid="17" name="ResDate">
    <vt:lpwstr>04-02-2025</vt:lpwstr>
  </property>
  <property fmtid="{D5CDD505-2E9C-101B-9397-08002B2CF9AE}" pid="18" name="Release">
    <vt:lpwstr>Rel-17</vt:lpwstr>
  </property>
  <property fmtid="{D5CDD505-2E9C-101B-9397-08002B2CF9AE}" pid="19" name="CrTitle">
    <vt:lpwstr>Clarification on Inclination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1033-6.11.0.8608</vt:lpwstr>
  </property>
  <property fmtid="{D5CDD505-2E9C-101B-9397-08002B2CF9AE}" pid="22" name="ICV">
    <vt:lpwstr>ADE7F7F4BF16DB5A4590B5671608C2B8_42</vt:lpwstr>
  </property>
</Properties>
</file>